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15 157 vom 9. Oktober 2015</w:t>
      </w:r>
    </w:p>
    <w:p>
      <w:r>
        <w:t>VS Kantonsgericht, 2015-10-09, FR</w:t>
      </w:r>
    </w:p>
    <w:p>
      <w:r>
        <w:rPr>
          <w:b/>
        </w:rPr>
        <w:t xml:space="preserve">Quelle: </w:t>
      </w:r>
      <w:r>
        <w:t>https://mcp.opencaselaw.ch/entscheid/vs_gerichte_P3 15 157</w:t>
      </w:r>
    </w:p>
    <w:p>
      <w:r>
        <w:t>FR: VS_GERICHTE P3 15 157 du 9 octobre 2015</w:t>
      </w:r>
    </w:p>
    <w:p>
      <w:r>
        <w:t>IT: VS_GERICHTE P3 15 157 del 9 ottobre 2015</w:t>
      </w:r>
    </w:p>
    <w:p>
      <w:pPr>
        <w:pStyle w:val="Heading2"/>
      </w:pPr>
      <w:r>
        <w:t>Regeste</w:t>
      </w:r>
    </w:p>
    <w:p>
      <w:r>
        <w:t>P3 15 157 ORDONNANCE DU 9 OCTOBRE 2015 Tribunal cantonal du Valais Chambre pénale Jacques Berthouzoz, juge ; Frédéric Carron, greffier en la cause entre X_________ LTD, recourante, représentée par Maître M_________ et MINISTÈRE PUBLIC, autorité attaquée (séquestre ; art. 263 al. 1 let. d CPP) recours contre l’ordonnance du ministère public du 28 juillet 2015</w:t>
      </w:r>
    </w:p>
    <w:p>
      <w:pPr>
        <w:pStyle w:val="Heading2"/>
      </w:pPr>
      <w:r>
        <w:t>Erwägungen</w:t>
      </w:r>
    </w:p>
    <w:p>
      <w:r>
        <w:rPr>
          <w:b/>
        </w:rPr>
        <w:t>E. 1.1</w:t>
      </w:r>
    </w:p>
    <w:p>
      <w:r>
        <w:t>Un recours peut être formé devant un juge unique de la Chambre pénale contre l’ordonnance de séquestre ou de maintien du séquestre du procureur (art. 393 al. 1 let. a CPP, 20 al. 3 LOJ et 13 al. 1 LACPP). Sont notamment susceptibles d’être</w:t>
      </w:r>
    </w:p>
    <w:p>
      <w:r>
        <w:t>- 5 - invoquées la violation du droit, y compris l’excès et l’abus du pouvoir d’appréciation (art. 393 al. 2 let. a CPP), ainsi que la constatation incomplète ou erronée des faits (let. b). L’autorité de recours n’a en principe à connaître que de ce qui lui est soumis (arrêt 6B_207/2014 du 2 février 2015 consid. 5.2 et la référence citée), de sorte qu’elle n’examine que les griefs soulevés, dès lors que le recours doit être motivé (RVJ 2014 p. 200 consid. 1 et la référence citée).</w:t>
      </w:r>
    </w:p>
    <w:p>
      <w:r>
        <w:rPr>
          <w:b/>
        </w:rPr>
        <w:t>E. 1.2</w:t>
      </w:r>
    </w:p>
    <w:p>
      <w:r>
        <w:t>En l’espèce, I_________, C_________ et E_________ s’accordent tous les trois pour dire - sans que le contraire ne soit démontré ni même rendu vraisemblable - que le montant de 235 000 € transféré via la Banque B_________ Ltd, le 8 avril 2014, sur le compte bancaire CHxxx1 ouvert au nom de C_________ auprès de la Banque D_________, appartient à la recourante. Force est donc d’admettre que celle-ci a la qualité pour recourir, dès lors qu’elle est directement touchée dans son droit de propriété (art. 26 al. 1 Cst.) par le prononcé refusant la levée du séquestre ordonné sur le compte en question (art. 105 al. 1 let. f et 2 CPP) et qu’elle a un intérêt juridiquement protégé à son annulation (art. 382 al. 1 CPP). Son recours, qui a été adressé dans le délai de dix jours dès la notification écrite de l’ordonnance litigieuse (art. 90 al. 1 et 2, 91 al. 1 et 2, 384 let. b et 396 al. 1 CPP) et qui respecte par ailleurs les conditions de motivation et de forme (art. 385 al. 1 et 396 al. 1 CPP), est donc recevable.</w:t>
      </w:r>
    </w:p>
    <w:p>
      <w:r>
        <w:rPr>
          <w:b/>
        </w:rPr>
        <w:t>E. 2.1</w:t>
      </w:r>
    </w:p>
    <w:p>
      <w:r>
        <w:t>et les références citées).</w:t>
      </w:r>
    </w:p>
    <w:p>
      <w:r>
        <w:rPr>
          <w:b/>
        </w:rPr>
        <w:t>E. 2.1.2</w:t>
      </w:r>
    </w:p>
    <w:p>
      <w:r>
        <w:t>et les références citées). Or, à ce stade, la simple connaissance par la recourante qu’une commission rogatoire internationale a été décernée en vue de déterminer la provenance criminelle ou non des 235 000 € est largement suffisante pour qu’elle puisse faire valoir valablement ses observations à ce sujet.</w:t>
      </w:r>
    </w:p>
    <w:p>
      <w:r>
        <w:rPr>
          <w:b/>
        </w:rPr>
        <w:t>E. 2.2</w:t>
      </w:r>
    </w:p>
    <w:p>
      <w:r>
        <w:t>En l’occurrence, les déclarations que I_________ a faites à la police, les 10 avril 2014 et 1er avril 2015, ne manquent pas de surprendre. En effet, il est pour le moins peu commun pour un ressortissant K_________ d’entreprendre un premier voyage en Suisse depuis F_________, sans rendez-vous précis et dans l’unique but d’y constater les opportunités d’investissement qui peuvent se présenter à lui dans le domaine des montres ou de la joaillerie, voire des métaux précieux, juste après avoir fait virer, par la société dont il est le company director, la somme conséquente de 235 000 € sur un compte bancaire ouvert quelques jours plus tôt par un tiers qu’il n’a plus revu depuis plusieurs années, qui plus est au nom de celui-ci et dans un établissement bancaire avec lequel il n’a pour sa part jamais travaillé. A cela s’ajoute que C_________, avec qui I_________ a été en contact direct les jours qui ont précédé le versement litigieux, n’a pas soutenu la même version des faits lors de son audition en qualité de personne appelée à donner des renseignements du 10 avril 2014, puisqu’il était alors question pour lui d’« opérations de change ». Dans ces conditions, c’est dire si, en l’état, il existe des soupçons suffisants laissant présumer un blanchiment d’argent (art. 305bis ch. 1 et</w:t>
      </w:r>
    </w:p>
    <w:p>
      <w:r>
        <w:rPr>
          <w:b/>
        </w:rPr>
        <w:t>E. 3</w:t>
      </w:r>
    </w:p>
    <w:p>
      <w:r>
        <w:t>La présente ordonnance est communiquée aux parties.</w:t>
      </w:r>
    </w:p>
    <w:p>
      <w:r>
        <w:t>Sion, le 9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